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66" w:rsidRDefault="003A4966" w:rsidP="003A4966">
      <w:pPr>
        <w:spacing w:after="0" w:line="270" w:lineRule="atLeast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ԱՎԱՆԴԱԿԱՆ</w:t>
      </w:r>
      <w:proofErr w:type="gramStart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ԲԺՇԿՈՒԹՅԱՆ</w:t>
      </w:r>
      <w:proofErr w:type="gramEnd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7088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ՀԱՄԱԼՍԱՐԱՆ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ՈՒՍՈՒՄՆԱԱՐՏԱԴՐԱԿԱՆ</w:t>
      </w:r>
      <w:r w:rsidRPr="001061D6">
        <w:rPr>
          <w:rFonts w:ascii="Sylfaen" w:eastAsia="Times New Roman" w:hAnsi="Sylfaen" w:cs="Dallak Time"/>
          <w:b/>
          <w:bCs/>
          <w:color w:val="000000"/>
          <w:sz w:val="28"/>
          <w:szCs w:val="28"/>
          <w:lang w:val="en-US" w:eastAsia="ru-RU"/>
        </w:rPr>
        <w:t> 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ՊՐԱԿՏԻԿԱՅԻ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ԾՐԱԳԻՐ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A4966" w:rsidRPr="001061D6" w:rsidRDefault="003A4966" w:rsidP="003A496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A4966" w:rsidRPr="001061D6" w:rsidRDefault="003A4966" w:rsidP="003A4966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Հաստատում</w:t>
      </w:r>
      <w:proofErr w:type="spellEnd"/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եմ</w:t>
      </w:r>
      <w:proofErr w:type="spellEnd"/>
    </w:p>
    <w:p w:rsidR="003A4966" w:rsidRPr="001061D6" w:rsidRDefault="003A4966" w:rsidP="003A4966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Ռեկտոր</w:t>
      </w:r>
      <w:proofErr w:type="spellEnd"/>
      <w:r w:rsidRPr="001061D6">
        <w:rPr>
          <w:rFonts w:ascii="Sylfaen" w:eastAsia="Times New Roman" w:hAnsi="Sylfaen" w:cs="Times Armenian"/>
          <w:color w:val="000000"/>
          <w:sz w:val="26"/>
          <w:szCs w:val="26"/>
          <w:lang w:val="en-US" w:eastAsia="ru-RU"/>
        </w:rPr>
        <w:t>                  </w:t>
      </w:r>
      <w:r>
        <w:rPr>
          <w:rFonts w:ascii="Sylfaen" w:eastAsia="Times New Roman" w:hAnsi="Sylfaen" w:cs="Times Armenian"/>
          <w:color w:val="000000"/>
          <w:sz w:val="26"/>
          <w:szCs w:val="26"/>
          <w:lang w:eastAsia="ru-RU"/>
        </w:rPr>
        <w:t xml:space="preserve"> 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          </w:t>
      </w:r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Ն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.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Սարիբեկյան</w:t>
      </w:r>
      <w:proofErr w:type="spellEnd"/>
    </w:p>
    <w:p w:rsidR="003A4966" w:rsidRPr="00544FDE" w:rsidRDefault="003A4966" w:rsidP="003A4966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«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_________________</w:t>
      </w:r>
      <w:r w:rsidRPr="00D7088F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</w:t>
      </w:r>
      <w:r w:rsidRPr="00544FDE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5</w:t>
      </w:r>
    </w:p>
    <w:p w:rsidR="003A4966" w:rsidRPr="001061D6" w:rsidRDefault="003A4966" w:rsidP="003A4966">
      <w:pPr>
        <w:spacing w:after="0" w:line="450" w:lineRule="atLeast"/>
        <w:ind w:firstLine="5220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3A4966" w:rsidRPr="001061D6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D7088F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3A4966" w:rsidRPr="001061D6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4"/>
      </w:tblGrid>
      <w:tr w:rsidR="003A4966" w:rsidRPr="001061D6" w:rsidTr="00D22FF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1061D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091201.00.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գործ</w:t>
            </w:r>
            <w:proofErr w:type="spellEnd"/>
          </w:p>
        </w:tc>
      </w:tr>
    </w:tbl>
    <w:p w:rsidR="003A4966" w:rsidRPr="001061D6" w:rsidRDefault="003A4966" w:rsidP="003A496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456"/>
      </w:tblGrid>
      <w:tr w:rsidR="003A4966" w:rsidRPr="001061D6" w:rsidTr="00D22FF6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3A4966" w:rsidRDefault="003A4966" w:rsidP="003A496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Բժշկի</w:t>
            </w:r>
            <w:r w:rsidRPr="003A496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օգնական</w:t>
            </w:r>
            <w:proofErr w:type="spellEnd"/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 xml:space="preserve"> /վիրաբուժություն/</w:t>
            </w:r>
          </w:p>
        </w:tc>
      </w:tr>
    </w:tbl>
    <w:p w:rsidR="003A4966" w:rsidRPr="001061D6" w:rsidRDefault="003A4966" w:rsidP="003A496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618"/>
        <w:gridCol w:w="1177"/>
        <w:gridCol w:w="1214"/>
        <w:gridCol w:w="1443"/>
        <w:gridCol w:w="1854"/>
      </w:tblGrid>
      <w:tr w:rsidR="003A4966" w:rsidRPr="001061D6" w:rsidTr="00D22FF6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3A496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</w:tr>
    </w:tbl>
    <w:p w:rsidR="003A4966" w:rsidRPr="001061D6" w:rsidRDefault="003A4966" w:rsidP="003A496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5692"/>
      </w:tblGrid>
      <w:tr w:rsidR="003A4966" w:rsidRPr="001061D6" w:rsidTr="00D22FF6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3A49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966" w:rsidRPr="001061D6" w:rsidRDefault="003A4966" w:rsidP="00D22FF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A49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3A4966" w:rsidRPr="001061D6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3A4966" w:rsidRPr="001061D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3A4966" w:rsidRPr="003A4966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A4966" w:rsidRPr="00544FDE" w:rsidRDefault="003A4966" w:rsidP="003A496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544FDE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2015</w:t>
      </w:r>
    </w:p>
    <w:p w:rsidR="003A4966" w:rsidRPr="00544FDE" w:rsidRDefault="003A4966" w:rsidP="003A496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lastRenderedPageBreak/>
        <w:t>   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ՈՒՍՈՒՄՆԱԱ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ՐՏԱԴՐԱԿԱՆ</w:t>
      </w: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</w:t>
      </w:r>
    </w:p>
    <w:p w:rsidR="003A4966" w:rsidRPr="00544FDE" w:rsidRDefault="003A4966" w:rsidP="003A4966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A4966" w:rsidRPr="00544FDE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Նպատակը.</w:t>
      </w:r>
    </w:p>
    <w:p w:rsidR="003A4966" w:rsidRDefault="00544FDE" w:rsidP="00544FD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Պրակտիկայի նպատակն է ամրապնդել և բարելավել գործնական հմտությունները, ստուգել և խորացնել ուսանողների ստացած կլինիկական և տեսական գիտելիքները՝ ծանոթանալով բժշկական գործի կազմակերպմանը վիրաբուժական բաժանմունքում և բժշկի աշխատանքային պայմաններին, ինչպես նաև առողջապահության կազմակերպման և հակահամաճարակային գործունեության հիմունքներին, տիրապետել գործնական հմտություններին հիվանդանոցում որպես բժշկի օգնական աշխատելու ընթացքում։</w:t>
      </w:r>
    </w:p>
    <w:p w:rsidR="00544FDE" w:rsidRPr="00544FDE" w:rsidRDefault="00544FDE" w:rsidP="00544FD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3A4966" w:rsidRPr="00544FDE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Խնդիրներն են՝</w:t>
      </w:r>
    </w:p>
    <w:p w:rsidR="003A4966" w:rsidRDefault="00544FDE" w:rsidP="00544FDE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Ծանոթանալ բժշկական հաստատությունների աշխատանքներին,</w:t>
      </w:r>
    </w:p>
    <w:p w:rsidR="00544FDE" w:rsidRDefault="00544FDE" w:rsidP="00544FDE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Տիրապետել բժշկական էթիկայի և դեոնտոլոգիայի հիմնական սկզբունքներին,</w:t>
      </w:r>
    </w:p>
    <w:p w:rsidR="00544FDE" w:rsidRDefault="00544FDE" w:rsidP="00544FDE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Ամրապնդել վիրաբուժական հիվանդների խնամքի հիմնական կանոնների վերաբերյալ գիտելիքները,</w:t>
      </w:r>
    </w:p>
    <w:p w:rsidR="00544FDE" w:rsidRDefault="00544FDE" w:rsidP="00544FDE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Ինքնուրույն կատարել բժշկական պրոցեդուրաները և մանիպուլյացիաները,</w:t>
      </w:r>
    </w:p>
    <w:p w:rsidR="00544FDE" w:rsidRDefault="00544FDE" w:rsidP="00544FDE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Ձեռք բերել շտապ օգնության պրակտիկ հմտություններ։</w:t>
      </w:r>
    </w:p>
    <w:p w:rsidR="00544FDE" w:rsidRPr="00544FDE" w:rsidRDefault="00544FDE" w:rsidP="00544FDE">
      <w:pPr>
        <w:pStyle w:val="ListParagraph"/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3A4966" w:rsidRPr="00544FDE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544FD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Պրակտիկայի ավարտին ուսանողը պետք է՝</w:t>
      </w:r>
    </w:p>
    <w:p w:rsidR="003A4966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Իմանա</w:t>
      </w:r>
    </w:p>
    <w:p w:rsidR="003A4966" w:rsidRDefault="003A4966" w:rsidP="003A4966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վիրաբուժական հիվանդությունների էթիոլոգիան, պթոգենեզը, կլինիկան, բուժումները, ինչպես նաև հետազոտման առանձնահատկությունները։</w:t>
      </w:r>
    </w:p>
    <w:p w:rsidR="003A4966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3A4966" w:rsidRPr="003A4966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3A4966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Կարողանա</w:t>
      </w:r>
    </w:p>
    <w:p w:rsidR="003A4966" w:rsidRPr="003A4966" w:rsidRDefault="003A4966" w:rsidP="003A4966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կատարել վիրաբուժական հետազոտություն և բուժում,</w:t>
      </w:r>
    </w:p>
    <w:p w:rsidR="003A4966" w:rsidRPr="003A4966" w:rsidRDefault="003A4966" w:rsidP="003A4966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մասնակցել ընդհանուր համայցերին։</w:t>
      </w:r>
    </w:p>
    <w:p w:rsidR="00340873" w:rsidRDefault="00340873" w:rsidP="003A4966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</w:p>
    <w:p w:rsidR="003A4966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Տիրապետի</w:t>
      </w:r>
    </w:p>
    <w:p w:rsidR="003A4966" w:rsidRPr="003A4966" w:rsidRDefault="003A4966" w:rsidP="003A4966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դիֆերենցված դիագնոստիկաին,</w:t>
      </w:r>
    </w:p>
    <w:p w:rsidR="003A4966" w:rsidRPr="003A4966" w:rsidRDefault="003A4966" w:rsidP="003A4966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զուտ վիրաբուժական հետազոտությունների և բուժումների կազմակերպանը։</w:t>
      </w:r>
    </w:p>
    <w:p w:rsidR="003A4966" w:rsidRDefault="003A4966" w:rsidP="003A4966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3A4966" w:rsidRPr="00340873" w:rsidTr="00340873">
        <w:tc>
          <w:tcPr>
            <w:tcW w:w="562" w:type="dxa"/>
            <w:vAlign w:val="center"/>
          </w:tcPr>
          <w:p w:rsidR="003A4966" w:rsidRPr="00340873" w:rsidRDefault="003A4966" w:rsidP="00340873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3A4966" w:rsidRPr="00340873" w:rsidRDefault="003A4966" w:rsidP="00340873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b/>
                <w:sz w:val="24"/>
                <w:szCs w:val="24"/>
                <w:lang w:val="hy-AM"/>
              </w:rPr>
              <w:t>Պրակտիկայի բովանդակությունը</w:t>
            </w:r>
          </w:p>
        </w:tc>
        <w:tc>
          <w:tcPr>
            <w:tcW w:w="986" w:type="dxa"/>
            <w:vAlign w:val="center"/>
          </w:tcPr>
          <w:p w:rsidR="003A4966" w:rsidRPr="00340873" w:rsidRDefault="003A4966" w:rsidP="00340873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  <w:r w:rsidRPr="00340873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4966" w:rsidRPr="00340873" w:rsidRDefault="003A4966" w:rsidP="003A496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Ձեռքերի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մշակման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մեթոդները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 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տեխնիկան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4966" w:rsidRPr="00340873" w:rsidRDefault="003A4966" w:rsidP="003A496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դաշտի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մշակման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եղանակները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տեխնիկան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4966" w:rsidRPr="00340873" w:rsidRDefault="003A4966" w:rsidP="003A496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Արյունահոսության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ժամանակավոր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դադարեցում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ուշ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2-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ային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արյունահոսության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ժամանակավոր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դադարեցում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վերքից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դուրս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վերքի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մեջ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4966" w:rsidRPr="00340873" w:rsidRDefault="003A4966" w:rsidP="003A496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Վերքերի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առաջնային</w:t>
            </w:r>
            <w:r w:rsidRPr="00340873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վիրաբուժական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մշակում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կենտրոնական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երակների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կատետրիզացիա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4966" w:rsidRPr="00340873" w:rsidRDefault="003A4966" w:rsidP="003A4966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Համայց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ավագ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վիրաբույժների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հետ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Անամնեզի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հավաքում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Օբյեկտիվ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զննում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(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շոշափում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բախում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լսում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,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վիրաբուժական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տիպիկ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սիմպտոմների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ստուգում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Կտրվածքների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հակաբացվածքների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մակերեսային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թարախակույտերի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ժամանակ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լաբորատոր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գործիքային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օժանդակ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հետազոտությունների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նշանակում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հիմնավորում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տակտիկայի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ծավալի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նախապատրաստումը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Մասնակցություն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փոքր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միջամտություններին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: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Որոշ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միջամտությունների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ինքնուրույն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(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ասեպտիկ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ինֆեկցված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վերքերի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մշակում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վիրակապում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թարախակույտերի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բացահատում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լիպոմաների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հեռացում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ֆիկսող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ճնշող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այլ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վիրակապությունների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Հետվիրահատական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շրջանում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բուժման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խնամքի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կազմակերպում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կատարում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Արյան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փոխներարկում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անհատական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համատեղելիության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,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խմբային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ռեզուս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պատկանելիության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որոշում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Հիվանդության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պատմության</w:t>
            </w:r>
            <w:r w:rsidRPr="00340873"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լրացում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  <w:p w:rsidR="00340873" w:rsidRPr="00340873" w:rsidRDefault="00340873" w:rsidP="00340873">
            <w:pPr>
              <w:spacing w:after="0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Միզապարկի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կատետրիզացիա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Մեծ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վիրահատական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միջամտությունների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դիտում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և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մասնակցություն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որպես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2-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րդ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ասիստենտ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340873" w:rsidRDefault="00340873" w:rsidP="00340873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Լապարասկոպիկ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եղանակով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վիրահատությունների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Pr="00340873">
              <w:rPr>
                <w:rFonts w:ascii="Sylfaen" w:hAnsi="Sylfaen" w:cs="Times New Roman"/>
                <w:color w:val="000000"/>
                <w:sz w:val="24"/>
                <w:szCs w:val="24"/>
              </w:rPr>
              <w:t>դիտում</w:t>
            </w:r>
            <w:r w:rsidRPr="00340873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Վիրահատությունների ընթացքում առաջացող հարցերի քննարկում: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Հարերիկամային նովոկայինային և միջկողային բլոկադաների կատարում: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Տեղային անզգայացման կատարման տեխնիկան: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Ցավազրկման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ընթացքի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մասնակցություն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որպես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անեսթեզիոլոգի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օգնական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Դեղանյութերի ն/ե ներարկում: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Միզապարկի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կատետրիզացիա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փափուկ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և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մետաղական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կատետրներով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Ստամոքսի էնդոնազալ զոնդավորում: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Վիրաբուժական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հիվանդների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համայց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վերակենդանացման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բաժանմունքում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A4966" w:rsidRPr="00F1595E" w:rsidRDefault="003A4966" w:rsidP="003A4966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մանիպուլիացիաների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կատարում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որպես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ռեանիմատոլոգի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օգնական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Վենեսեկցիա: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Լարինգոսկոպիա: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Շնչափողի ինտուբացիա: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Տրախեոստոմիա: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Վերքերի առաջնային վիրաբուժական մշակում: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Կարերի դնում և հանում: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Բարորակ փոքր ուռուցքների հեռացում: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Փափուկ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հյուսվածքների</w:t>
            </w:r>
            <w:r w:rsidRPr="00F1595E">
              <w:rPr>
                <w:rFonts w:ascii="Sylfaen" w:eastAsia="Times New Roman" w:hAnsi="Sylfaen" w:cs="Times Armenian"/>
                <w:color w:val="000000"/>
                <w:sz w:val="24"/>
                <w:szCs w:val="24"/>
                <w:lang w:val="en-US"/>
              </w:rPr>
              <w:t> 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բարորակ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Armenian"/>
                <w:color w:val="000000"/>
                <w:sz w:val="24"/>
                <w:szCs w:val="24"/>
                <w:lang w:val="en-US"/>
              </w:rPr>
              <w:t> 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ուռուցքների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հեռացում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լիպոմա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ֆիբրոմա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Ապենդեկտոմիա՝</w:t>
            </w:r>
            <w:r w:rsidRPr="00F1595E">
              <w:rPr>
                <w:rFonts w:ascii="Sylfaen" w:eastAsia="Times New Roman" w:hAnsi="Sylfaen" w:cs="Times Armenian"/>
                <w:color w:val="000000"/>
                <w:sz w:val="24"/>
                <w:szCs w:val="24"/>
              </w:rPr>
              <w:t> 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էտապների կատարում: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Ճողվածքահատում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, 2-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ային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դնում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կենտրոնական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երակների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կաթետրիզացիա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Թարախային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վերքերի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տամպոնադա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և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դրենավորում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Թարախային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վերքերի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ուլտրաձայնային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կավիտացիա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Նովոկայինային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բլոկադաների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կատարում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Պլևրալ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խոռոչի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պունկցիա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Լիպոմաների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ֆիբրոմաների</w:t>
            </w:r>
            <w:r w:rsidRPr="00F1595E">
              <w:rPr>
                <w:rFonts w:ascii="Sylfaen" w:eastAsia="Times New Roman" w:hAnsi="Sylfaen" w:cs="Times Armenian"/>
                <w:color w:val="000000"/>
                <w:sz w:val="24"/>
                <w:szCs w:val="24"/>
                <w:lang w:val="en-US"/>
              </w:rPr>
              <w:t> 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հեռացում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Դեղանյութերի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ներարկում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վերքերի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լվացում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հականեխիչներով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վիրակապում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40873" w:rsidRPr="00340873" w:rsidTr="00340873">
        <w:tc>
          <w:tcPr>
            <w:tcW w:w="562" w:type="dxa"/>
          </w:tcPr>
          <w:p w:rsidR="00340873" w:rsidRPr="00340873" w:rsidRDefault="00340873" w:rsidP="00340873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40873" w:rsidRPr="00F1595E" w:rsidRDefault="00340873" w:rsidP="00340873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Այրվածքային մակերեսի որոշում:</w:t>
            </w:r>
          </w:p>
        </w:tc>
        <w:tc>
          <w:tcPr>
            <w:tcW w:w="986" w:type="dxa"/>
            <w:vAlign w:val="center"/>
          </w:tcPr>
          <w:p w:rsidR="00340873" w:rsidRPr="00340873" w:rsidRDefault="00340873" w:rsidP="0034087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4087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3A4966" w:rsidRPr="00340873" w:rsidTr="00340873">
        <w:trPr>
          <w:trHeight w:val="70"/>
        </w:trPr>
        <w:tc>
          <w:tcPr>
            <w:tcW w:w="562" w:type="dxa"/>
          </w:tcPr>
          <w:p w:rsidR="003A4966" w:rsidRPr="00340873" w:rsidRDefault="003A4966" w:rsidP="003A4966">
            <w:pPr>
              <w:pStyle w:val="ListParagraph"/>
              <w:numPr>
                <w:ilvl w:val="0"/>
                <w:numId w:val="5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:rsidR="003A4966" w:rsidRPr="00F1595E" w:rsidRDefault="003A4966" w:rsidP="003A4966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Առավել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տարածված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վիրաբուժական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հիվանդների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ախտորոշում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և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բուժական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տակտիկայի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որոշում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պոլիկլինիկայի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և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ստացիոնար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պայմաններում</w:t>
            </w:r>
            <w:r w:rsidRPr="00F1595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86" w:type="dxa"/>
            <w:vAlign w:val="center"/>
          </w:tcPr>
          <w:p w:rsidR="003A4966" w:rsidRPr="00F1595E" w:rsidRDefault="00340873" w:rsidP="003408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34087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</w:p>
        </w:tc>
      </w:tr>
      <w:tr w:rsidR="00544FDE" w:rsidRPr="00340873" w:rsidTr="00A96CC9">
        <w:trPr>
          <w:trHeight w:val="70"/>
        </w:trPr>
        <w:tc>
          <w:tcPr>
            <w:tcW w:w="8359" w:type="dxa"/>
            <w:gridSpan w:val="2"/>
          </w:tcPr>
          <w:p w:rsidR="00544FDE" w:rsidRPr="00544FDE" w:rsidRDefault="00544FDE" w:rsidP="003A4966">
            <w:pPr>
              <w:spacing w:before="100" w:beforeAutospacing="1" w:after="100" w:afterAutospacing="1" w:line="270" w:lineRule="atLeast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986" w:type="dxa"/>
            <w:vAlign w:val="center"/>
          </w:tcPr>
          <w:p w:rsidR="00544FDE" w:rsidRPr="00544FDE" w:rsidRDefault="00544FDE" w:rsidP="003408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90</w:t>
            </w:r>
            <w:bookmarkStart w:id="0" w:name="_GoBack"/>
            <w:bookmarkEnd w:id="0"/>
          </w:p>
        </w:tc>
      </w:tr>
    </w:tbl>
    <w:p w:rsidR="00E76825" w:rsidRPr="003A4966" w:rsidRDefault="00E76825">
      <w:pPr>
        <w:rPr>
          <w:lang w:val="en-US"/>
        </w:rPr>
      </w:pPr>
    </w:p>
    <w:sectPr w:rsidR="00E76825" w:rsidRPr="003A4966" w:rsidSect="00A6222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78" w:rsidRDefault="00C42D78">
      <w:pPr>
        <w:spacing w:after="0" w:line="240" w:lineRule="auto"/>
      </w:pPr>
      <w:r>
        <w:separator/>
      </w:r>
    </w:p>
  </w:endnote>
  <w:endnote w:type="continuationSeparator" w:id="0">
    <w:p w:rsidR="00C42D78" w:rsidRDefault="00C4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34871"/>
      <w:docPartObj>
        <w:docPartGallery w:val="Page Numbers (Bottom of Page)"/>
        <w:docPartUnique/>
      </w:docPartObj>
    </w:sdtPr>
    <w:sdtEndPr/>
    <w:sdtContent>
      <w:p w:rsidR="00A6222A" w:rsidRDefault="003408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88">
          <w:rPr>
            <w:noProof/>
          </w:rPr>
          <w:t>2</w:t>
        </w:r>
        <w:r>
          <w:fldChar w:fldCharType="end"/>
        </w:r>
      </w:p>
    </w:sdtContent>
  </w:sdt>
  <w:p w:rsidR="00A6222A" w:rsidRDefault="00C4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78" w:rsidRDefault="00C42D78">
      <w:pPr>
        <w:spacing w:after="0" w:line="240" w:lineRule="auto"/>
      </w:pPr>
      <w:r>
        <w:separator/>
      </w:r>
    </w:p>
  </w:footnote>
  <w:footnote w:type="continuationSeparator" w:id="0">
    <w:p w:rsidR="00C42D78" w:rsidRDefault="00C4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06F"/>
    <w:multiLevelType w:val="hybridMultilevel"/>
    <w:tmpl w:val="0B92424C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D5101"/>
    <w:multiLevelType w:val="hybridMultilevel"/>
    <w:tmpl w:val="AB86C7B2"/>
    <w:lvl w:ilvl="0" w:tplc="5AAAB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876"/>
    <w:multiLevelType w:val="hybridMultilevel"/>
    <w:tmpl w:val="7EE69C1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66F"/>
    <w:multiLevelType w:val="hybridMultilevel"/>
    <w:tmpl w:val="01161A5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90ABE"/>
    <w:multiLevelType w:val="hybridMultilevel"/>
    <w:tmpl w:val="9560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6"/>
    <w:rsid w:val="00340873"/>
    <w:rsid w:val="003A4966"/>
    <w:rsid w:val="00544FDE"/>
    <w:rsid w:val="006B2F88"/>
    <w:rsid w:val="00C42D78"/>
    <w:rsid w:val="00E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3BC0D-D31A-45EC-9B19-6693047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6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66"/>
    <w:rPr>
      <w:lang w:val="ru-RU"/>
    </w:rPr>
  </w:style>
  <w:style w:type="table" w:styleId="TableGrid">
    <w:name w:val="Table Grid"/>
    <w:basedOn w:val="TableNormal"/>
    <w:uiPriority w:val="39"/>
    <w:rsid w:val="003A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7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2019-03-29T11:33:00Z</cp:lastPrinted>
  <dcterms:created xsi:type="dcterms:W3CDTF">2019-03-27T11:16:00Z</dcterms:created>
  <dcterms:modified xsi:type="dcterms:W3CDTF">2019-03-29T11:38:00Z</dcterms:modified>
</cp:coreProperties>
</file>